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358"/>
      </w:tblGrid>
      <w:tr w:rsidR="006E79A3" w:rsidRPr="00C46EDE" w:rsidTr="00436434">
        <w:tc>
          <w:tcPr>
            <w:tcW w:w="4106" w:type="dxa"/>
          </w:tcPr>
          <w:p w:rsidR="006E79A3" w:rsidRPr="00E22307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58" w:type="dxa"/>
          </w:tcPr>
          <w:p w:rsidR="006E79A3" w:rsidRPr="00BA6C07" w:rsidRDefault="00BA6C07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Евгений Сергеевич</w:t>
            </w:r>
          </w:p>
        </w:tc>
      </w:tr>
      <w:tr w:rsidR="006E79A3" w:rsidRPr="00C46EDE" w:rsidTr="00436434">
        <w:tc>
          <w:tcPr>
            <w:tcW w:w="4106" w:type="dxa"/>
          </w:tcPr>
          <w:p w:rsidR="006E79A3" w:rsidRPr="00E22307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358" w:type="dxa"/>
          </w:tcPr>
          <w:p w:rsidR="006E79A3" w:rsidRPr="00E22307" w:rsidRDefault="00BA6C07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доцент, профессор кафедры факультетской терапии</w:t>
            </w:r>
          </w:p>
        </w:tc>
      </w:tr>
      <w:tr w:rsidR="006E79A3" w:rsidRPr="00C46EDE" w:rsidTr="00436434">
        <w:tc>
          <w:tcPr>
            <w:tcW w:w="4106" w:type="dxa"/>
          </w:tcPr>
          <w:p w:rsidR="006E79A3" w:rsidRPr="00E22307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358" w:type="dxa"/>
          </w:tcPr>
          <w:p w:rsidR="006E79A3" w:rsidRPr="00E22307" w:rsidRDefault="00BA6C07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6E79A3" w:rsidRPr="00C46EDE" w:rsidTr="00436434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8" w:type="dxa"/>
          </w:tcPr>
          <w:p w:rsidR="006E79A3" w:rsidRPr="00BA6C07" w:rsidRDefault="00BA6C07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ovses@yandex.ru</w:t>
            </w:r>
          </w:p>
        </w:tc>
      </w:tr>
      <w:tr w:rsidR="006E79A3" w:rsidRPr="00C46EDE" w:rsidTr="00436434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358" w:type="dxa"/>
          </w:tcPr>
          <w:p w:rsidR="006E79A3" w:rsidRPr="00E22307" w:rsidRDefault="00BA6C07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89103405281</w:t>
            </w:r>
          </w:p>
        </w:tc>
      </w:tr>
      <w:tr w:rsidR="006E79A3" w:rsidRPr="00C46EDE" w:rsidTr="00436434">
        <w:tc>
          <w:tcPr>
            <w:tcW w:w="4106" w:type="dxa"/>
          </w:tcPr>
          <w:p w:rsidR="006E79A3" w:rsidRPr="00E22307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358" w:type="dxa"/>
          </w:tcPr>
          <w:p w:rsidR="006E79A3" w:rsidRPr="00E22307" w:rsidRDefault="00BA6C07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E79A3" w:rsidRPr="00C46EDE" w:rsidTr="00436434">
        <w:tc>
          <w:tcPr>
            <w:tcW w:w="4106" w:type="dxa"/>
          </w:tcPr>
          <w:p w:rsidR="006E79A3" w:rsidRPr="00E22307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358" w:type="dxa"/>
          </w:tcPr>
          <w:p w:rsidR="006E79A3" w:rsidRPr="00E22307" w:rsidRDefault="00BA6C07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болезни, пульмонология. С</w:t>
            </w:r>
            <w:r w:rsidRPr="00BA6C07">
              <w:rPr>
                <w:rFonts w:ascii="Times New Roman" w:hAnsi="Times New Roman" w:cs="Times New Roman"/>
                <w:sz w:val="24"/>
                <w:szCs w:val="24"/>
              </w:rPr>
              <w:t>истемы 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</w:t>
            </w:r>
            <w:r w:rsidRPr="00BA6C0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больных хронической </w:t>
            </w:r>
            <w:proofErr w:type="spellStart"/>
            <w:r w:rsidRPr="00BA6C07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BA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легких.</w:t>
            </w:r>
          </w:p>
        </w:tc>
      </w:tr>
      <w:tr w:rsidR="006E79A3" w:rsidRPr="00294584" w:rsidTr="00436434">
        <w:tc>
          <w:tcPr>
            <w:tcW w:w="9464" w:type="dxa"/>
            <w:gridSpan w:val="2"/>
          </w:tcPr>
          <w:p w:rsidR="006E79A3" w:rsidRDefault="00E03278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(2020-2023</w:t>
            </w:r>
            <w:r w:rsidR="006E79A3" w:rsidRPr="00E2230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40F87" w:rsidRPr="00F6656D" w:rsidRDefault="000C2CF2" w:rsidP="00EB1AB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оль тучных клеток и их протеаз в поражении легких у пациентов с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Авдеев С.Н., Овсянников Е.С., Шишкина В.В., Есауленко Д.И., Филин А.А., Савушкина И.А.,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Первеева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И.М., Алексеева Н.Г.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Пульмонология. 2023. Т. 33. № 1. С. 17-26.</w:t>
            </w:r>
          </w:p>
          <w:p w:rsidR="000C2CF2" w:rsidRPr="00F6656D" w:rsidRDefault="000C2CF2" w:rsidP="00EB1AB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стрый коронарный синдром в период пандемии новой </w:t>
            </w:r>
            <w:proofErr w:type="spellStart"/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О.М., Кравченко А.Я.,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Концевая А.В., Овсянников Е.С., Дробышева Е.С.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 кардиологии. 2023. Т. 19. № 1. С. 65-70.</w:t>
            </w:r>
          </w:p>
          <w:p w:rsidR="000C2CF2" w:rsidRPr="00F6656D" w:rsidRDefault="00EB1ABD" w:rsidP="00EB1AB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стабильной стенокардии напряжения на фоне железодефицитной анемии в амбулаторно-поликлинической практике.</w:t>
            </w:r>
          </w:p>
          <w:p w:rsidR="000C2CF2" w:rsidRPr="00F6656D" w:rsidRDefault="000C2CF2" w:rsidP="00EB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Нехаенко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Н.Е., Остроушко Н.И., Бражников Н.О.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совет.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17. № 13.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246-255.</w:t>
            </w:r>
          </w:p>
          <w:p w:rsidR="000C2CF2" w:rsidRPr="00F6656D" w:rsidRDefault="000C2CF2" w:rsidP="00EB1AB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sthma control in </w:t>
            </w:r>
            <w:proofErr w:type="spellStart"/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multimorbid</w:t>
            </w:r>
            <w:proofErr w:type="spellEnd"/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Tribuntseva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Kozhevnikova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Olysheva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Chernik T.A.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2023.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13. № 1.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37-40.</w:t>
            </w:r>
          </w:p>
          <w:p w:rsidR="000C2CF2" w:rsidRPr="00F6656D" w:rsidRDefault="000C2CF2" w:rsidP="00EB1AB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omprehensive assessment of </w:t>
            </w:r>
            <w:proofErr w:type="spellStart"/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cardiometabolic</w:t>
            </w:r>
            <w:proofErr w:type="spellEnd"/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risk in patients with chronic obstructive pulmonary disease and obesity.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Korchagina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2023.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13. № 1.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31-36.</w:t>
            </w:r>
          </w:p>
          <w:p w:rsidR="00CA0A22" w:rsidRPr="00F6656D" w:rsidRDefault="00CA0A22" w:rsidP="00EB1AB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sthma control in </w:t>
            </w:r>
            <w:proofErr w:type="spellStart"/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multimorbid</w:t>
            </w:r>
            <w:proofErr w:type="spellEnd"/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Tribuntseva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Kozhevnikova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Olysheva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Chernik T.A.</w:t>
            </w:r>
            <w:r w:rsidR="00EB1AB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2023.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№ 1. С. 37-40.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пектральный анализ звуков кашля у больных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Авдеев С.Н., Овсянников Е.С.,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Фейгельман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Чопоров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О.Н., Максимов А.В., Перцев А.В.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Пульмонология. 2022. Т. 32. № 6. С. 834-841.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крининг анемического синдрома у больных ишемической болезнью сердца в амбулаторной практике с использованием компьютерной системы мониторинга.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и управление в биомедицинских системах.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21. № 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137-144.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 of mast cells in the pathogenesis of severe lung damage in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COVID-19 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Avdeev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Kosanovic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Filin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Esaulenko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Samoylenko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Redkin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Suvorova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Perveeva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I.M.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Respiratory Research. 2022.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23. № 1.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1-10.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ossible unexplored aspects of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COVID-19 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pathogenesis: the role of carboxypeptidase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Esaulenko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Shumilovich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B.R.,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Savushkina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Alekseeva N.G.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2022. Т. 12. № 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179-182.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cells as the target of the biological effects of molecular hydrogen in the specific tissue microenvironment.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Atiakshin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Esaulenko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Antakova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Samoilenko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T.V., Andreev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P.Yu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Magerramova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Budnevskaya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12. № 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183-187.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xperimental evaluation of hemostatic agents and powdered sorbent effectiveness on the dynamics of blood aggregate state regulation using the method of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thromboelastography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Vorontsov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Parkhisenko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Cherednikov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E.F.,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Mehantjeva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L.E.,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Yuzefovich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Bezaltynnykh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12. № 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289-292.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creening of anemia in patients with coronary heart disease in outpatient practice using a computer monitoring system.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Simion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Nekhaenko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N.E.,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Ostroushko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Malyukova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12. № 3.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355-359.</w:t>
            </w:r>
          </w:p>
          <w:p w:rsidR="00CA0A22" w:rsidRPr="00F6656D" w:rsidRDefault="00CA0A22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peculiarities of six-minute walk test in patients with chronic obstructive pulmonary disease, some with normal weight and some overweight.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Kachur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№ 4. С. 530-534.</w:t>
            </w:r>
          </w:p>
          <w:p w:rsidR="00436434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ффекты мелатонина при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Авдеев С.Н., Овсянников Е.С., Шишкина В.В.,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медицина. 2021. Т. 24. № 9. С. 110-115.</w:t>
            </w:r>
          </w:p>
          <w:p w:rsidR="00A40F87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лияние тревоги и депрессии на субъективную оценку кашля у больных хронической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Е.С.,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Я.С.,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Резова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медицина. 2021. Т. 24. № 5-2. С. 43.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87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линическая эффективность тренировки дыхательной мускулатуры у больных хронической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легких. 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Е.С.,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А., Дробышева Е.С.,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М.М., Перцев А.В.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медицина. 2021. Т. 24. № 5-2. С. 43.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87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кашля: настоящее и будущее.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Е.С., Авдеев С.Н.,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Дробышева Е.С.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легких. 2021. Т. 99. № 11. С. 56-65.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87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ронхиальная астма и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-19: 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Е.С., Авдеев С.Н.,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Дробышева Е.С., Савушкина И.А.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легких. 2021. Т. 99. № 9. С. 6-14.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87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и хроническая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легких: известное о неизвестном.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Е.С., Авдеев С.Н.,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Дробышева Е.С., Кравченко А.Я.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и болезни легких. 2021. Т. 99.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2. </w:t>
            </w:r>
            <w:proofErr w:type="gram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6</w:t>
            </w:r>
            <w:proofErr w:type="gram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94584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COVID-19 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pneumonia: a case report.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Banin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I.N.,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Grechkin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V.I.,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Neznamov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O.D.,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Savushkina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Biomedicine. 2021. Т. 11.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№ 2. С. 177-180.</w:t>
            </w:r>
          </w:p>
          <w:p w:rsidR="00294584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истемное воспаление у больных хронической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 и ожирением.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Е.С., Авдеев С.Н.,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Терапевтический архив. 2020. Т. 92. № 3. С. 13-18.</w:t>
            </w:r>
          </w:p>
          <w:p w:rsidR="00A40F87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жирение у больных хронической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легких: предпосылки к выделению отдельного фенотипа.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Е.С., Авдеев С.Н.,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Пульмонология. 2020. Т. 30. № 3. С. 312-319.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4584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течения хронической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 на фоне метаболического синдрома.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Мальцева Ю.С., Полякова Н.В.,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Наука молодых (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Eruditio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Juvenium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Т. 8.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№ 2. С. 164-171.</w:t>
            </w:r>
          </w:p>
          <w:p w:rsidR="006E79A3" w:rsidRPr="00F6656D" w:rsidRDefault="00A40F87" w:rsidP="00F6656D">
            <w:pPr>
              <w:pStyle w:val="a5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линическая эффективность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рофлумиласта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и легочной реабилитации у пациентов с хронической </w:t>
            </w:r>
            <w:proofErr w:type="spellStart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 и метаболическим синдромом.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А.В., Мальцева Ю.С., Овсянников Е.С., Перцев А.В., Полякова Н.В.,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Шкатова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  <w:r w:rsidR="00F6656D"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Наука молодых (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Eruditio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Juvenium</w:t>
            </w:r>
            <w:proofErr w:type="spellEnd"/>
            <w:r w:rsidRPr="00F6656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6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Т. 8. 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№ 2. С. 181-188.</w:t>
            </w: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E79A3" w:rsidRPr="001A3BDA" w:rsidTr="00436434">
        <w:tc>
          <w:tcPr>
            <w:tcW w:w="9464" w:type="dxa"/>
            <w:gridSpan w:val="2"/>
          </w:tcPr>
          <w:p w:rsidR="006E79A3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p w:rsidR="001A3BDA" w:rsidRDefault="001A3BDA" w:rsidP="00F6656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A">
              <w:rPr>
                <w:rFonts w:ascii="Times New Roman" w:hAnsi="Times New Roman" w:cs="Times New Roman"/>
                <w:sz w:val="24"/>
                <w:szCs w:val="24"/>
              </w:rPr>
              <w:t>61-я Межрегиональная научно-практическая конференция РНМОТ, 13 - 14 февраля 2020 г, Воронеж</w:t>
            </w:r>
            <w:r w:rsidR="00F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BDA" w:rsidRDefault="001A3BDA" w:rsidP="00F6656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A">
              <w:rPr>
                <w:rFonts w:ascii="Times New Roman" w:hAnsi="Times New Roman" w:cs="Times New Roman"/>
                <w:sz w:val="24"/>
                <w:szCs w:val="24"/>
              </w:rPr>
              <w:t>Региональный конгресс РКО, 27 - 28 ноября 2020, Воронеж</w:t>
            </w:r>
            <w:r w:rsidR="00F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BDA" w:rsidRDefault="001A3BDA" w:rsidP="00F6656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«Диалоги о терапии», Воронеж, 21 мая 2021 г. ВГМУ им. Н.Н. Бурденко</w:t>
            </w:r>
            <w:r w:rsidR="00F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BDA" w:rsidRDefault="001A3BDA" w:rsidP="00F6656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«Актуальные вопросы терапевтической службы Воронежской области» в рамках 52 межрегионального специализированного форума «Здравоохранение Черноземья», 04 октября 2021 г. ВГМУ им. Н.Н. Бурденко</w:t>
            </w:r>
            <w:r w:rsidR="00F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BDA" w:rsidRDefault="001A3BDA" w:rsidP="00F6656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A">
              <w:rPr>
                <w:rFonts w:ascii="Times New Roman" w:hAnsi="Times New Roman" w:cs="Times New Roman"/>
                <w:sz w:val="24"/>
                <w:szCs w:val="24"/>
              </w:rPr>
              <w:t>Симпозиум «Р</w:t>
            </w:r>
            <w:r w:rsidR="00F6656D" w:rsidRPr="001A3BDA">
              <w:rPr>
                <w:rFonts w:ascii="Times New Roman" w:hAnsi="Times New Roman" w:cs="Times New Roman"/>
                <w:sz w:val="24"/>
                <w:szCs w:val="24"/>
              </w:rPr>
              <w:t xml:space="preserve">еспираторная патология в период пандемии </w:t>
            </w:r>
            <w:r w:rsidRPr="001A3BDA">
              <w:rPr>
                <w:rFonts w:ascii="Times New Roman" w:hAnsi="Times New Roman" w:cs="Times New Roman"/>
                <w:sz w:val="24"/>
                <w:szCs w:val="24"/>
              </w:rPr>
              <w:t>COVID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BDA">
              <w:rPr>
                <w:rFonts w:ascii="Times New Roman" w:hAnsi="Times New Roman" w:cs="Times New Roman"/>
                <w:sz w:val="24"/>
                <w:szCs w:val="24"/>
              </w:rPr>
              <w:t>, 18 июня 2021, Владикавказ</w:t>
            </w:r>
            <w:r w:rsidR="00F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A3" w:rsidRDefault="00062140" w:rsidP="00F6656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0">
              <w:rPr>
                <w:rFonts w:ascii="Times New Roman" w:hAnsi="Times New Roman" w:cs="Times New Roman"/>
                <w:sz w:val="24"/>
                <w:szCs w:val="24"/>
              </w:rPr>
              <w:t xml:space="preserve">Форум терапевтов ЦФО,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14.июня 2022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>, Воронеж</w:t>
            </w:r>
            <w:r w:rsidR="00F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E2A" w:rsidRPr="00971E2A" w:rsidRDefault="00062140" w:rsidP="00F6656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0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терапевтическая конференция </w:t>
            </w:r>
            <w:r w:rsidR="00F6656D" w:rsidRPr="001A3B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140">
              <w:rPr>
                <w:rFonts w:ascii="Times New Roman" w:hAnsi="Times New Roman" w:cs="Times New Roman"/>
                <w:sz w:val="24"/>
                <w:szCs w:val="24"/>
              </w:rPr>
              <w:t>Век живи</w:t>
            </w:r>
            <w:bookmarkStart w:id="0" w:name="_GoBack"/>
            <w:bookmarkEnd w:id="0"/>
            <w:r w:rsidRPr="00062140">
              <w:rPr>
                <w:rFonts w:ascii="Times New Roman" w:hAnsi="Times New Roman" w:cs="Times New Roman"/>
                <w:sz w:val="24"/>
                <w:szCs w:val="24"/>
              </w:rPr>
              <w:t>, век учись</w:t>
            </w:r>
            <w:r w:rsidR="00F6656D" w:rsidRPr="001A3B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2140">
              <w:rPr>
                <w:rFonts w:ascii="Times New Roman" w:hAnsi="Times New Roman" w:cs="Times New Roman"/>
                <w:sz w:val="24"/>
                <w:szCs w:val="24"/>
              </w:rPr>
              <w:t>, МГМСУ им. А.И. Евдокимова МЗ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 xml:space="preserve"> 20 октября 2022, Москва</w:t>
            </w:r>
            <w:r w:rsidR="00F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9A3" w:rsidRPr="00C46EDE" w:rsidTr="00436434">
        <w:tc>
          <w:tcPr>
            <w:tcW w:w="9464" w:type="dxa"/>
            <w:gridSpan w:val="2"/>
          </w:tcPr>
          <w:p w:rsidR="006E79A3" w:rsidRPr="00E22307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</w:p>
          <w:p w:rsidR="006E79A3" w:rsidRPr="00E22307" w:rsidRDefault="006E79A3" w:rsidP="000C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A3" w:rsidRPr="00C46EDE" w:rsidRDefault="006E79A3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333"/>
    <w:multiLevelType w:val="hybridMultilevel"/>
    <w:tmpl w:val="4222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686"/>
    <w:multiLevelType w:val="hybridMultilevel"/>
    <w:tmpl w:val="4C5E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665A"/>
    <w:multiLevelType w:val="hybridMultilevel"/>
    <w:tmpl w:val="E40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9F2"/>
    <w:multiLevelType w:val="hybridMultilevel"/>
    <w:tmpl w:val="E5E05316"/>
    <w:lvl w:ilvl="0" w:tplc="830266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70C8"/>
    <w:multiLevelType w:val="hybridMultilevel"/>
    <w:tmpl w:val="D38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2AA"/>
    <w:multiLevelType w:val="hybridMultilevel"/>
    <w:tmpl w:val="EDE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E20"/>
    <w:multiLevelType w:val="hybridMultilevel"/>
    <w:tmpl w:val="8858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54CE"/>
    <w:multiLevelType w:val="hybridMultilevel"/>
    <w:tmpl w:val="8074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42C"/>
    <w:multiLevelType w:val="hybridMultilevel"/>
    <w:tmpl w:val="244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062140"/>
    <w:rsid w:val="000C2CF2"/>
    <w:rsid w:val="001A3BDA"/>
    <w:rsid w:val="001E2942"/>
    <w:rsid w:val="00294584"/>
    <w:rsid w:val="00436434"/>
    <w:rsid w:val="00571549"/>
    <w:rsid w:val="006E79A3"/>
    <w:rsid w:val="00746A2F"/>
    <w:rsid w:val="00971E2A"/>
    <w:rsid w:val="00A40F87"/>
    <w:rsid w:val="00BA6C07"/>
    <w:rsid w:val="00CA0A22"/>
    <w:rsid w:val="00E03278"/>
    <w:rsid w:val="00E22307"/>
    <w:rsid w:val="00E567ED"/>
    <w:rsid w:val="00EB1ABD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Chernik Tatiana</cp:lastModifiedBy>
  <cp:revision>14</cp:revision>
  <dcterms:created xsi:type="dcterms:W3CDTF">2022-01-26T12:57:00Z</dcterms:created>
  <dcterms:modified xsi:type="dcterms:W3CDTF">2023-10-13T09:13:00Z</dcterms:modified>
</cp:coreProperties>
</file>